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D8" w:rsidRDefault="008452CC" w:rsidP="008452CC">
      <w:pPr>
        <w:tabs>
          <w:tab w:val="center" w:pos="7841"/>
          <w:tab w:val="left" w:pos="14565"/>
        </w:tabs>
        <w:ind w:left="284"/>
        <w:rPr>
          <w:rFonts w:ascii="Century Gothic" w:hAnsi="Century Gothic" w:cs="Arial"/>
          <w:b/>
          <w:color w:val="002060"/>
          <w:sz w:val="36"/>
          <w:szCs w:val="36"/>
        </w:rPr>
      </w:pPr>
      <w:r>
        <w:rPr>
          <w:rFonts w:ascii="Century Gothic" w:hAnsi="Century Gothic" w:cs="Arial"/>
          <w:b/>
          <w:color w:val="002060"/>
          <w:sz w:val="36"/>
          <w:szCs w:val="36"/>
        </w:rPr>
        <w:t xml:space="preserve">A </w:t>
      </w:r>
      <w:r w:rsidRPr="00A54273">
        <w:rPr>
          <w:rFonts w:ascii="Century Gothic" w:hAnsi="Century Gothic" w:cs="Arial"/>
          <w:b/>
          <w:color w:val="FF0000"/>
          <w:sz w:val="36"/>
          <w:szCs w:val="36"/>
        </w:rPr>
        <w:t xml:space="preserve">Diagnostic </w:t>
      </w:r>
      <w:r>
        <w:rPr>
          <w:rFonts w:ascii="Century Gothic" w:hAnsi="Century Gothic" w:cs="Arial"/>
          <w:b/>
          <w:color w:val="002060"/>
          <w:sz w:val="36"/>
          <w:szCs w:val="36"/>
        </w:rPr>
        <w:t>Look at Book Marking</w:t>
      </w:r>
      <w:r w:rsidR="00C2692B">
        <w:rPr>
          <w:rFonts w:ascii="Century Gothic" w:hAnsi="Century Gothic" w:cs="Arial"/>
          <w:b/>
          <w:color w:val="002060"/>
          <w:sz w:val="36"/>
          <w:szCs w:val="36"/>
        </w:rPr>
        <w:t>:</w:t>
      </w:r>
    </w:p>
    <w:p w:rsidR="00142585" w:rsidRDefault="008D383A" w:rsidP="008D383A">
      <w:pPr>
        <w:tabs>
          <w:tab w:val="center" w:pos="7841"/>
          <w:tab w:val="left" w:pos="14565"/>
        </w:tabs>
        <w:ind w:left="284"/>
        <w:rPr>
          <w:rFonts w:ascii="Century Gothic" w:hAnsi="Century Gothic" w:cs="Arial"/>
          <w:color w:val="002060"/>
          <w:sz w:val="18"/>
          <w:szCs w:val="18"/>
        </w:rPr>
      </w:pPr>
      <w:r w:rsidRPr="008D383A">
        <w:rPr>
          <w:rFonts w:ascii="Century Gothic" w:hAnsi="Century Gothic" w:cs="Arial"/>
          <w:color w:val="002060"/>
          <w:sz w:val="18"/>
          <w:szCs w:val="18"/>
        </w:rPr>
        <w:t>See reverse for guidance</w:t>
      </w:r>
    </w:p>
    <w:p w:rsidR="008D383A" w:rsidRPr="008D383A" w:rsidRDefault="008D383A" w:rsidP="008D383A">
      <w:pPr>
        <w:tabs>
          <w:tab w:val="center" w:pos="7841"/>
          <w:tab w:val="left" w:pos="14565"/>
        </w:tabs>
        <w:ind w:left="284"/>
        <w:rPr>
          <w:rFonts w:ascii="Century Gothic" w:hAnsi="Century Gothic" w:cs="Arial"/>
          <w:color w:val="002060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163"/>
        <w:gridCol w:w="4003"/>
        <w:gridCol w:w="1525"/>
        <w:gridCol w:w="3657"/>
      </w:tblGrid>
      <w:tr w:rsidR="008D383A" w:rsidTr="008D383A">
        <w:trPr>
          <w:trHeight w:val="567"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:rsidR="008D383A" w:rsidRPr="006C21FC" w:rsidRDefault="008D383A" w:rsidP="006C21F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6C21FC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Date:</w:t>
            </w:r>
          </w:p>
        </w:tc>
        <w:tc>
          <w:tcPr>
            <w:tcW w:w="4003" w:type="dxa"/>
            <w:vAlign w:val="center"/>
          </w:tcPr>
          <w:p w:rsidR="008D383A" w:rsidRPr="006C21FC" w:rsidRDefault="008D383A" w:rsidP="008D383A">
            <w:pPr>
              <w:jc w:val="righ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8D383A">
              <w:rPr>
                <w:rFonts w:ascii="Century Gothic" w:hAnsi="Century Gothic" w:cs="Arial"/>
                <w:color w:val="002060"/>
                <w:sz w:val="16"/>
                <w:szCs w:val="16"/>
              </w:rPr>
              <w:t>2014/15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8D383A" w:rsidRPr="006C21FC" w:rsidRDefault="008D383A" w:rsidP="006C21F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Teacher</w:t>
            </w:r>
            <w:r w:rsidRPr="006C21FC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3657" w:type="dxa"/>
          </w:tcPr>
          <w:p w:rsidR="008D383A" w:rsidRDefault="008D383A" w:rsidP="00B65DD8">
            <w:pP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</w:p>
        </w:tc>
      </w:tr>
      <w:tr w:rsidR="008D383A" w:rsidTr="008D383A">
        <w:trPr>
          <w:trHeight w:val="567"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:rsidR="008D383A" w:rsidRPr="006C21FC" w:rsidRDefault="008D383A" w:rsidP="006C21F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SLT/HoF</w:t>
            </w:r>
            <w:r w:rsidRPr="006C21FC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4003" w:type="dxa"/>
            <w:vAlign w:val="center"/>
          </w:tcPr>
          <w:p w:rsidR="008D383A" w:rsidRPr="006C21FC" w:rsidRDefault="008D383A" w:rsidP="006C21F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8D383A" w:rsidRDefault="008D383A" w:rsidP="006C21F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6C21FC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Class sample:</w:t>
            </w:r>
          </w:p>
        </w:tc>
        <w:tc>
          <w:tcPr>
            <w:tcW w:w="3657" w:type="dxa"/>
          </w:tcPr>
          <w:p w:rsidR="008D383A" w:rsidRDefault="008D383A" w:rsidP="00B65DD8">
            <w:pP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</w:p>
        </w:tc>
      </w:tr>
      <w:tr w:rsidR="00142585" w:rsidRPr="00142585" w:rsidTr="008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166" w:type="dxa"/>
            <w:gridSpan w:val="2"/>
            <w:shd w:val="clear" w:color="auto" w:fill="C2D69B" w:themeFill="accent3" w:themeFillTint="99"/>
            <w:vAlign w:val="center"/>
          </w:tcPr>
          <w:p w:rsidR="00142585" w:rsidRPr="00142585" w:rsidRDefault="00142585" w:rsidP="00BA15D7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Teachers should ….</w:t>
            </w:r>
          </w:p>
        </w:tc>
        <w:tc>
          <w:tcPr>
            <w:tcW w:w="5182" w:type="dxa"/>
            <w:gridSpan w:val="2"/>
            <w:shd w:val="clear" w:color="auto" w:fill="FABF8F" w:themeFill="accent6" w:themeFillTint="99"/>
            <w:vAlign w:val="center"/>
          </w:tcPr>
          <w:p w:rsidR="00142585" w:rsidRPr="00142585" w:rsidRDefault="00142585" w:rsidP="00BA15D7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142585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Students</w:t>
            </w: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 should …</w:t>
            </w:r>
          </w:p>
        </w:tc>
      </w:tr>
    </w:tbl>
    <w:p w:rsidR="003A7720" w:rsidRPr="0059559C" w:rsidRDefault="003A7720" w:rsidP="000A342A">
      <w:pPr>
        <w:rPr>
          <w:rFonts w:ascii="Century Gothic" w:hAnsi="Century Gothic" w:cs="Arial"/>
          <w:b/>
          <w:color w:val="002060"/>
          <w:sz w:val="6"/>
          <w:szCs w:val="20"/>
        </w:rPr>
      </w:pPr>
    </w:p>
    <w:tbl>
      <w:tblPr>
        <w:tblW w:w="1063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429"/>
        <w:gridCol w:w="2899"/>
        <w:gridCol w:w="69"/>
        <w:gridCol w:w="1843"/>
        <w:gridCol w:w="567"/>
        <w:gridCol w:w="567"/>
        <w:gridCol w:w="567"/>
        <w:gridCol w:w="1169"/>
        <w:gridCol w:w="2520"/>
      </w:tblGrid>
      <w:tr w:rsidR="00A63654" w:rsidRPr="009D3562" w:rsidTr="0008735E">
        <w:trPr>
          <w:trHeight w:val="466"/>
          <w:jc w:val="center"/>
        </w:trPr>
        <w:tc>
          <w:tcPr>
            <w:tcW w:w="429" w:type="dxa"/>
            <w:shd w:val="clear" w:color="auto" w:fill="002060"/>
          </w:tcPr>
          <w:p w:rsidR="00A63654" w:rsidRPr="009D3562" w:rsidRDefault="00A63654" w:rsidP="00A63654">
            <w:pPr>
              <w:rPr>
                <w:rFonts w:ascii="Century Gothic" w:hAnsi="Century Gothic" w:cs="Arial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968" w:type="dxa"/>
            <w:gridSpan w:val="2"/>
            <w:shd w:val="clear" w:color="auto" w:fill="002060"/>
          </w:tcPr>
          <w:p w:rsidR="00A63654" w:rsidRPr="009D3562" w:rsidRDefault="00A63654" w:rsidP="009152B6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A63654" w:rsidRPr="009D3562" w:rsidRDefault="00A63654" w:rsidP="009152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2"/>
              </w:rPr>
              <w:t>Student</w:t>
            </w:r>
          </w:p>
        </w:tc>
        <w:tc>
          <w:tcPr>
            <w:tcW w:w="567" w:type="dxa"/>
            <w:shd w:val="clear" w:color="auto" w:fill="002060"/>
          </w:tcPr>
          <w:p w:rsidR="00A63654" w:rsidRPr="0018131D" w:rsidRDefault="00A63654" w:rsidP="0018131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18131D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:rsidR="00A63654" w:rsidRPr="0018131D" w:rsidRDefault="00A63654" w:rsidP="0018131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Yes, but</w:t>
            </w:r>
          </w:p>
        </w:tc>
        <w:tc>
          <w:tcPr>
            <w:tcW w:w="567" w:type="dxa"/>
            <w:shd w:val="clear" w:color="auto" w:fill="002060"/>
          </w:tcPr>
          <w:p w:rsidR="00A63654" w:rsidRPr="0018131D" w:rsidRDefault="00A63654" w:rsidP="0018131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18131D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3689" w:type="dxa"/>
            <w:gridSpan w:val="2"/>
            <w:shd w:val="clear" w:color="auto" w:fill="002060"/>
          </w:tcPr>
          <w:p w:rsidR="00A63654" w:rsidRPr="009D3562" w:rsidRDefault="00A63654" w:rsidP="009152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BA15D7" w:rsidRPr="00A63654" w:rsidRDefault="00BA15D7" w:rsidP="00A63654">
            <w:pPr>
              <w:ind w:left="113" w:right="60"/>
              <w:jc w:val="center"/>
              <w:rPr>
                <w:rFonts w:ascii="Century Gothic" w:hAnsi="Century Gothic" w:cs="Arial"/>
                <w:b/>
                <w:color w:val="00206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2060"/>
                <w:sz w:val="22"/>
                <w:szCs w:val="22"/>
              </w:rPr>
              <w:t xml:space="preserve">Low Priority                                                              High </w:t>
            </w:r>
            <w:r w:rsidRPr="00A63654">
              <w:rPr>
                <w:rFonts w:ascii="Century Gothic" w:hAnsi="Century Gothic" w:cs="Arial"/>
                <w:b/>
                <w:color w:val="002060"/>
                <w:sz w:val="22"/>
                <w:szCs w:val="22"/>
              </w:rPr>
              <w:t>Priority</w:t>
            </w:r>
          </w:p>
        </w:tc>
        <w:tc>
          <w:tcPr>
            <w:tcW w:w="296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BA15D7" w:rsidRPr="00831B84" w:rsidRDefault="00777A90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S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ummative and/or formative comments 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are 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diagnostic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and make clear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how to improve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classwork, homework and coursework.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F7336E" w:rsidRDefault="00BA15D7" w:rsidP="008452CC">
            <w:pPr>
              <w:jc w:val="center"/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</w:pPr>
            <w:r w:rsidRPr="00F7336E"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  <w:t>High Attainer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F7336E" w:rsidRDefault="00BA15D7" w:rsidP="008452CC">
            <w:pPr>
              <w:jc w:val="center"/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</w:pPr>
            <w:r w:rsidRPr="00F7336E"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  <w:t>Middle Attainer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8452CC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739FA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8452CC" w:rsidRPr="00831B84" w:rsidRDefault="008452CC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F7336E" w:rsidRDefault="008452CC" w:rsidP="008452CC">
            <w:pPr>
              <w:jc w:val="center"/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</w:pPr>
            <w:r w:rsidRPr="00F7336E"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  <w:t>Low Attainer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15D7" w:rsidRPr="00F7336E" w:rsidRDefault="008452CC" w:rsidP="008452CC">
            <w:pPr>
              <w:jc w:val="center"/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</w:pPr>
            <w:r w:rsidRPr="00F7336E">
              <w:rPr>
                <w:rFonts w:ascii="Century Gothic" w:hAnsi="Century Gothic" w:cs="Arial"/>
                <w:i/>
                <w:color w:val="A6A6A6" w:themeColor="background1" w:themeShade="A6"/>
                <w:sz w:val="18"/>
                <w:szCs w:val="18"/>
              </w:rPr>
              <w:t>Pupil Premium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BA15D7" w:rsidRPr="00831B84" w:rsidRDefault="00777A90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The student has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responded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to 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diagnostic feedback (redrafting;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corrections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; spellings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etc.)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452CC" w:rsidRPr="009D3562" w:rsidTr="00800123">
        <w:trPr>
          <w:trHeight w:val="447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739FA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8452CC" w:rsidRPr="00831B84" w:rsidRDefault="008452CC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BA15D7" w:rsidRPr="00831B84" w:rsidRDefault="00777A90" w:rsidP="00B50AB8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The</w:t>
            </w:r>
            <w:r w:rsidR="00B50AB8">
              <w:rPr>
                <w:rFonts w:ascii="Century Gothic" w:hAnsi="Century Gothic" w:cs="Arial"/>
                <w:color w:val="002060"/>
                <w:sz w:val="18"/>
                <w:szCs w:val="18"/>
              </w:rPr>
              <w:t>re is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diagnostic 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peer and self-assessment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>evident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in </w:t>
            </w:r>
            <w:r w:rsidR="00B50AB8">
              <w:rPr>
                <w:rFonts w:ascii="Century Gothic" w:hAnsi="Century Gothic" w:cs="Arial"/>
                <w:color w:val="002060"/>
                <w:sz w:val="18"/>
                <w:szCs w:val="18"/>
              </w:rPr>
              <w:t>student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work.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452CC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739FA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8452CC" w:rsidRPr="00831B84" w:rsidRDefault="008452CC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Teachers are marking using the 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‘lite</w:t>
            </w:r>
            <w:r w:rsidR="007303A5"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racy marking symbols’ </w:t>
            </w:r>
            <w:r w:rsidR="007303A5">
              <w:rPr>
                <w:rFonts w:ascii="Century Gothic" w:hAnsi="Century Gothic" w:cs="Arial"/>
                <w:color w:val="002060"/>
                <w:sz w:val="18"/>
                <w:szCs w:val="18"/>
              </w:rPr>
              <w:t>to</w:t>
            </w:r>
            <w:r w:rsidR="00777A9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diagnose and</w:t>
            </w:r>
            <w:r w:rsidR="007303A5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improve student literacy.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452CC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739FA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8452CC" w:rsidRPr="00831B84" w:rsidRDefault="008452CC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BA15D7" w:rsidRPr="00831B84" w:rsidRDefault="00777A90" w:rsidP="00B50AB8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Evidence of 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homework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</w:t>
            </w:r>
            <w:r w:rsidR="00B50AB8">
              <w:rPr>
                <w:rFonts w:ascii="Century Gothic" w:hAnsi="Century Gothic" w:cs="Arial"/>
                <w:color w:val="002060"/>
                <w:sz w:val="18"/>
                <w:szCs w:val="18"/>
              </w:rPr>
              <w:t>is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clearly identifiable and marked.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452CC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739FA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8452CC" w:rsidRPr="00831B84" w:rsidRDefault="008452CC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FABF8F" w:themeFill="accent6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BA15D7" w:rsidRPr="00831B84" w:rsidRDefault="00777A90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>Books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/folders 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are available and 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diagnostic 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>m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arking is clear and 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up to date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(within the past 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>3 weeks). (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C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oursework 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is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available)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452CC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739FA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8452CC" w:rsidRPr="00831B84" w:rsidRDefault="008452CC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739FA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BA15D7" w:rsidRPr="00831B84" w:rsidRDefault="00BA15D7" w:rsidP="00F7336E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Presentation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of books</w:t>
            </w:r>
            <w:r w:rsidRPr="00B50AB8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is good </w:t>
            </w:r>
            <w:r w:rsidRPr="00831B84">
              <w:rPr>
                <w:rFonts w:ascii="Century Gothic" w:hAnsi="Century Gothic" w:cs="Arial"/>
                <w:color w:val="002060"/>
                <w:sz w:val="18"/>
                <w:szCs w:val="18"/>
              </w:rPr>
              <w:t>and the teacher has picked up on poor presentation.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D3562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20"/>
                <w:szCs w:val="22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</w:tcPr>
          <w:p w:rsidR="00BA15D7" w:rsidRPr="00831B84" w:rsidRDefault="00BA15D7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452CC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8452CC" w:rsidRPr="009D3562" w:rsidRDefault="008452CC" w:rsidP="00A63654">
            <w:pPr>
              <w:ind w:right="60"/>
              <w:rPr>
                <w:rFonts w:ascii="Century Gothic" w:hAnsi="Century Gothic" w:cs="Arial"/>
                <w:color w:val="002060"/>
                <w:sz w:val="20"/>
                <w:szCs w:val="22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</w:tcPr>
          <w:p w:rsidR="008452CC" w:rsidRPr="00831B84" w:rsidRDefault="008452CC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2CC" w:rsidRPr="008452CC" w:rsidRDefault="008452CC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52CC" w:rsidRPr="008452CC" w:rsidRDefault="008452CC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BA15D7" w:rsidRPr="009D3562" w:rsidTr="0008735E">
        <w:trPr>
          <w:trHeight w:val="284"/>
          <w:jc w:val="center"/>
        </w:trPr>
        <w:tc>
          <w:tcPr>
            <w:tcW w:w="429" w:type="dxa"/>
            <w:vMerge/>
            <w:shd w:val="clear" w:color="auto" w:fill="C6D9F1" w:themeFill="text2" w:themeFillTint="33"/>
          </w:tcPr>
          <w:p w:rsidR="00BA15D7" w:rsidRPr="009D3562" w:rsidRDefault="00BA15D7" w:rsidP="00A63654">
            <w:pPr>
              <w:ind w:right="60"/>
              <w:rPr>
                <w:rFonts w:ascii="Century Gothic" w:hAnsi="Century Gothic" w:cs="Arial"/>
                <w:color w:val="002060"/>
                <w:sz w:val="20"/>
                <w:szCs w:val="22"/>
              </w:rPr>
            </w:pPr>
          </w:p>
        </w:tc>
        <w:tc>
          <w:tcPr>
            <w:tcW w:w="2968" w:type="dxa"/>
            <w:gridSpan w:val="2"/>
            <w:vMerge/>
            <w:shd w:val="clear" w:color="auto" w:fill="C2D69B" w:themeFill="accent3" w:themeFillTint="99"/>
          </w:tcPr>
          <w:p w:rsidR="00BA15D7" w:rsidRPr="00831B84" w:rsidRDefault="00BA15D7" w:rsidP="00DB7619">
            <w:pPr>
              <w:numPr>
                <w:ilvl w:val="0"/>
                <w:numId w:val="14"/>
              </w:numPr>
              <w:ind w:left="257" w:right="60" w:hanging="257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5D7" w:rsidRPr="008452CC" w:rsidRDefault="00BA15D7" w:rsidP="008452CC">
            <w:pPr>
              <w:jc w:val="center"/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5D7" w:rsidRPr="008452CC" w:rsidRDefault="00BA15D7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8D383A" w:rsidRPr="009D3562" w:rsidTr="0008735E">
        <w:trPr>
          <w:trHeight w:val="41"/>
          <w:jc w:val="center"/>
        </w:trPr>
        <w:tc>
          <w:tcPr>
            <w:tcW w:w="10630" w:type="dxa"/>
            <w:gridSpan w:val="9"/>
            <w:shd w:val="clear" w:color="auto" w:fill="C6D9F1" w:themeFill="text2" w:themeFillTint="33"/>
          </w:tcPr>
          <w:p w:rsidR="008D383A" w:rsidRPr="008452CC" w:rsidRDefault="008D383A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08735E" w:rsidRPr="009D3562" w:rsidTr="0008735E">
        <w:trPr>
          <w:trHeight w:val="287"/>
          <w:jc w:val="center"/>
        </w:trPr>
        <w:tc>
          <w:tcPr>
            <w:tcW w:w="332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735E" w:rsidRPr="0008735E" w:rsidRDefault="0008735E" w:rsidP="0008735E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08735E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Date of feedback to teacher:</w:t>
            </w:r>
          </w:p>
        </w:tc>
        <w:tc>
          <w:tcPr>
            <w:tcW w:w="24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735E" w:rsidRDefault="0008735E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08735E" w:rsidRPr="008452CC" w:rsidRDefault="0008735E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735E" w:rsidRPr="0008735E" w:rsidRDefault="0008735E" w:rsidP="0008735E">
            <w:pP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Uploaded to Blue Sky?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08735E" w:rsidRDefault="0008735E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08735E" w:rsidRPr="008452CC" w:rsidRDefault="0008735E" w:rsidP="008452CC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</w:tbl>
    <w:p w:rsidR="007F7EDD" w:rsidRPr="00F7336E" w:rsidRDefault="00036CB5" w:rsidP="00A54273">
      <w:pPr>
        <w:spacing w:line="276" w:lineRule="auto"/>
        <w:rPr>
          <w:rFonts w:ascii="Century Gothic" w:hAnsi="Century Gothic" w:cs="Arial"/>
          <w:b/>
          <w:color w:val="002060"/>
          <w:sz w:val="36"/>
          <w:szCs w:val="36"/>
        </w:rPr>
      </w:pPr>
      <w:r>
        <w:rPr>
          <w:rFonts w:ascii="Century Gothic" w:hAnsi="Century Gothic" w:cs="Arial"/>
          <w:b/>
          <w:color w:val="002060"/>
          <w:sz w:val="36"/>
          <w:szCs w:val="36"/>
        </w:rPr>
        <w:lastRenderedPageBreak/>
        <w:t>Procedures</w:t>
      </w:r>
      <w:r w:rsidR="007F7EDD" w:rsidRPr="00F7336E">
        <w:rPr>
          <w:rFonts w:ascii="Century Gothic" w:hAnsi="Century Gothic" w:cs="Arial"/>
          <w:b/>
          <w:color w:val="002060"/>
          <w:sz w:val="36"/>
          <w:szCs w:val="36"/>
        </w:rPr>
        <w:t xml:space="preserve"> for</w:t>
      </w:r>
      <w:r>
        <w:rPr>
          <w:rFonts w:ascii="Century Gothic" w:hAnsi="Century Gothic" w:cs="Arial"/>
          <w:b/>
          <w:color w:val="002060"/>
          <w:sz w:val="36"/>
          <w:szCs w:val="36"/>
        </w:rPr>
        <w:t xml:space="preserve"> Diagnostic Book-Looks</w:t>
      </w:r>
    </w:p>
    <w:p w:rsidR="00142585" w:rsidRDefault="00142585" w:rsidP="00A54273">
      <w:pPr>
        <w:spacing w:line="276" w:lineRule="auto"/>
        <w:rPr>
          <w:rFonts w:ascii="Century Gothic" w:hAnsi="Century Gothic" w:cs="Arial"/>
          <w:b/>
          <w:color w:val="002060"/>
          <w:sz w:val="22"/>
          <w:szCs w:val="22"/>
        </w:rPr>
      </w:pPr>
    </w:p>
    <w:p w:rsidR="00324E03" w:rsidRDefault="00324E03" w:rsidP="00324E0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KEY GUIDANCE:</w:t>
      </w:r>
    </w:p>
    <w:p w:rsidR="00324E03" w:rsidRDefault="00324E03" w:rsidP="00324E03">
      <w:pPr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The primary aim of this book-look rev</w:t>
      </w:r>
      <w:r>
        <w:rPr>
          <w:rFonts w:ascii="Century Gothic" w:hAnsi="Century Gothic"/>
          <w:color w:val="000000" w:themeColor="text1"/>
          <w:sz w:val="21"/>
          <w:szCs w:val="21"/>
        </w:rPr>
        <w:t>iew is to gauge the landscape of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>
        <w:rPr>
          <w:rFonts w:ascii="Century Gothic" w:hAnsi="Century Gothic"/>
          <w:color w:val="000000" w:themeColor="text1"/>
          <w:sz w:val="21"/>
          <w:szCs w:val="21"/>
        </w:rPr>
        <w:t>‘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diagnostic marking across QK’ </w:t>
      </w: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There are </w:t>
      </w:r>
      <w:r>
        <w:rPr>
          <w:rFonts w:ascii="Century Gothic" w:hAnsi="Century Gothic" w:cs="Arial"/>
          <w:b/>
          <w:color w:val="000000" w:themeColor="text1"/>
          <w:sz w:val="21"/>
          <w:szCs w:val="21"/>
        </w:rPr>
        <w:t>NO</w:t>
      </w: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 judgements/lesson </w:t>
      </w:r>
      <w:proofErr w:type="spellStart"/>
      <w:r>
        <w:rPr>
          <w:rFonts w:ascii="Century Gothic" w:hAnsi="Century Gothic" w:cs="Arial"/>
          <w:color w:val="000000" w:themeColor="text1"/>
          <w:sz w:val="21"/>
          <w:szCs w:val="21"/>
        </w:rPr>
        <w:t>gradings</w:t>
      </w:r>
      <w:proofErr w:type="spellEnd"/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. This is </w:t>
      </w:r>
      <w:r>
        <w:rPr>
          <w:rFonts w:ascii="Century Gothic" w:hAnsi="Century Gothic" w:cs="Arial"/>
          <w:b/>
          <w:color w:val="000000" w:themeColor="text1"/>
          <w:sz w:val="21"/>
          <w:szCs w:val="21"/>
        </w:rPr>
        <w:t>not</w:t>
      </w: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 an observation.</w:t>
      </w:r>
    </w:p>
    <w:p w:rsidR="00324E03" w:rsidRDefault="00324E03" w:rsidP="00324E03">
      <w:pPr>
        <w:rPr>
          <w:rFonts w:ascii="Century Gothic" w:hAnsi="Century Gothic"/>
          <w:color w:val="000000" w:themeColor="text1"/>
          <w:sz w:val="21"/>
          <w:szCs w:val="21"/>
        </w:rPr>
      </w:pPr>
    </w:p>
    <w:p w:rsidR="00324E03" w:rsidRDefault="00324E03" w:rsidP="00324E03">
      <w:pPr>
        <w:pStyle w:val="ListParagraph"/>
        <w:numPr>
          <w:ilvl w:val="0"/>
          <w:numId w:val="22"/>
        </w:numPr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All book-looks are to be conducted by HoFs/</w:t>
      </w:r>
      <w:proofErr w:type="spellStart"/>
      <w:r>
        <w:rPr>
          <w:rFonts w:ascii="Century Gothic" w:hAnsi="Century Gothic"/>
          <w:color w:val="000000" w:themeColor="text1"/>
          <w:sz w:val="21"/>
          <w:szCs w:val="21"/>
        </w:rPr>
        <w:t>HoDs</w:t>
      </w:r>
      <w:proofErr w:type="spellEnd"/>
      <w:r>
        <w:rPr>
          <w:rFonts w:ascii="Century Gothic" w:hAnsi="Century Gothic"/>
          <w:color w:val="000000" w:themeColor="text1"/>
          <w:sz w:val="21"/>
          <w:szCs w:val="21"/>
        </w:rPr>
        <w:t xml:space="preserve"> with relevant SLT line manager for support and capacity where needed.</w:t>
      </w:r>
    </w:p>
    <w:p w:rsidR="00324E03" w:rsidRDefault="00324E03" w:rsidP="00324E03">
      <w:pPr>
        <w:pStyle w:val="ListParagraph"/>
        <w:numPr>
          <w:ilvl w:val="0"/>
          <w:numId w:val="22"/>
        </w:numPr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Please direct your SLT where you need capacity; this may be when you are unavailable, or when you would like to conduct paired monitoring.</w:t>
      </w:r>
    </w:p>
    <w:p w:rsidR="00324E03" w:rsidRDefault="00324E03" w:rsidP="00324E03">
      <w:pPr>
        <w:pStyle w:val="ListParagraph"/>
        <w:numPr>
          <w:ilvl w:val="0"/>
          <w:numId w:val="22"/>
        </w:numPr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I would recommend drafting up a simple schedule and communicating this with your department/SLT. What classes/books are scheduled/list of names.</w:t>
      </w:r>
    </w:p>
    <w:p w:rsidR="00324E03" w:rsidRDefault="00324E03" w:rsidP="00324E03">
      <w:pPr>
        <w:pStyle w:val="ListParagraph"/>
        <w:numPr>
          <w:ilvl w:val="0"/>
          <w:numId w:val="22"/>
        </w:numPr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Book-looks </w:t>
      </w:r>
      <w:r>
        <w:rPr>
          <w:rFonts w:ascii="Century Gothic" w:hAnsi="Century Gothic"/>
          <w:b/>
          <w:color w:val="000000" w:themeColor="text1"/>
          <w:sz w:val="21"/>
          <w:szCs w:val="21"/>
        </w:rPr>
        <w:t>do not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need to happen when the lesson is taking place. Books can be reviewed outside lesson time if books are easier to access/manage.</w:t>
      </w:r>
    </w:p>
    <w:p w:rsidR="00324E03" w:rsidRDefault="00324E03" w:rsidP="00324E03">
      <w:pPr>
        <w:pStyle w:val="ListParagraph"/>
        <w:numPr>
          <w:ilvl w:val="0"/>
          <w:numId w:val="22"/>
        </w:numPr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The book sample should cover a range of key stage classes/year groups per teacher.</w:t>
      </w:r>
    </w:p>
    <w:p w:rsidR="00324E03" w:rsidRDefault="00324E03" w:rsidP="00324E03">
      <w:pPr>
        <w:pStyle w:val="ListParagraph"/>
        <w:numPr>
          <w:ilvl w:val="0"/>
          <w:numId w:val="22"/>
        </w:numPr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If a member of staff only teaches one key stage, you should consider reviewing different year groups/courses.</w:t>
      </w:r>
    </w:p>
    <w:p w:rsidR="00324E03" w:rsidRDefault="00324E03" w:rsidP="00324E03">
      <w:pPr>
        <w:rPr>
          <w:rFonts w:ascii="Century Gothic" w:hAnsi="Century Gothic"/>
          <w:color w:val="000000" w:themeColor="text1"/>
          <w:sz w:val="21"/>
          <w:szCs w:val="21"/>
        </w:rPr>
      </w:pPr>
    </w:p>
    <w:p w:rsidR="00324E03" w:rsidRDefault="00324E03" w:rsidP="00324E03">
      <w:pPr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Before the book look you should:</w:t>
      </w:r>
    </w:p>
    <w:p w:rsidR="00324E03" w:rsidRDefault="00324E03" w:rsidP="00324E03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HoFs/SLT should briefly meet with the </w:t>
      </w:r>
      <w:proofErr w:type="gramStart"/>
      <w:r>
        <w:rPr>
          <w:rFonts w:ascii="Century Gothic" w:hAnsi="Century Gothic" w:cs="Arial"/>
          <w:color w:val="000000" w:themeColor="text1"/>
          <w:sz w:val="21"/>
          <w:szCs w:val="21"/>
        </w:rPr>
        <w:t>teacher  to</w:t>
      </w:r>
      <w:proofErr w:type="gramEnd"/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 gather initial context; e.g. how best can this process improve your teaching; planning and marking?</w:t>
      </w:r>
    </w:p>
    <w:p w:rsidR="00324E03" w:rsidRDefault="00324E03" w:rsidP="00324E03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The book-look monitoring should aim to provide; ‘what went well and areas for improvement.’ </w:t>
      </w:r>
    </w:p>
    <w:p w:rsidR="00324E03" w:rsidRDefault="00324E03" w:rsidP="00324E03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All book-looks should schedule a planned feedback session for each classroom teacher; agree this in advance, with time to discuss feedback between 5-20 minutes.</w:t>
      </w:r>
    </w:p>
    <w:p w:rsidR="00324E03" w:rsidRDefault="00324E03" w:rsidP="00324E03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Prior to any book-look, the teacher’s progress-tracking sheets should be available to help pre-plan and identify students for scrutiny. </w:t>
      </w:r>
    </w:p>
    <w:p w:rsidR="00324E03" w:rsidRDefault="00324E03" w:rsidP="00324E03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 w:cs="Arial"/>
          <w:b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Every student sample must include a high, middle and low attainer; stretch; SEN and pupil premium. </w:t>
      </w:r>
    </w:p>
    <w:p w:rsidR="00324E03" w:rsidRDefault="00324E03" w:rsidP="00324E03">
      <w:pPr>
        <w:rPr>
          <w:rFonts w:ascii="Century Gothic" w:hAnsi="Century Gothic" w:cs="Arial"/>
          <w:b/>
          <w:color w:val="000000" w:themeColor="text1"/>
          <w:sz w:val="21"/>
          <w:szCs w:val="21"/>
        </w:rPr>
      </w:pPr>
    </w:p>
    <w:p w:rsidR="00324E03" w:rsidRDefault="00324E03" w:rsidP="00324E03">
      <w:pPr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During the book look you should:</w:t>
      </w:r>
    </w:p>
    <w:p w:rsidR="00324E03" w:rsidRDefault="00324E03" w:rsidP="00324E03">
      <w:pPr>
        <w:pStyle w:val="ListParagraph"/>
        <w:numPr>
          <w:ilvl w:val="0"/>
          <w:numId w:val="25"/>
        </w:numPr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All books must be available.</w:t>
      </w:r>
    </w:p>
    <w:p w:rsidR="00324E03" w:rsidRDefault="00324E03" w:rsidP="00324E03">
      <w:pPr>
        <w:pStyle w:val="ListParagraph"/>
        <w:numPr>
          <w:ilvl w:val="0"/>
          <w:numId w:val="25"/>
        </w:numPr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When looking in specific student books, this should never be an ad-hoc exercise of who is present in the room.</w:t>
      </w:r>
    </w:p>
    <w:p w:rsidR="00324E03" w:rsidRDefault="00324E03" w:rsidP="00324E03">
      <w:pPr>
        <w:pStyle w:val="ListParagraph"/>
        <w:numPr>
          <w:ilvl w:val="0"/>
          <w:numId w:val="25"/>
        </w:numPr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If books are not available, say so on the document. Please revisit the class at the next available opportunity and locate the absent student’s book.</w:t>
      </w:r>
    </w:p>
    <w:p w:rsidR="00324E03" w:rsidRDefault="00324E03" w:rsidP="00324E03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="Arial"/>
          <w:b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Every student sample must include a range of student-profile: high, middle and low attainer; stretch; SEN and pupil premium. </w:t>
      </w:r>
    </w:p>
    <w:p w:rsidR="00324E03" w:rsidRDefault="00324E03" w:rsidP="00324E03">
      <w:pPr>
        <w:rPr>
          <w:rFonts w:ascii="Century Gothic" w:hAnsi="Century Gothic" w:cs="Arial"/>
          <w:b/>
          <w:color w:val="000000" w:themeColor="text1"/>
          <w:sz w:val="21"/>
          <w:szCs w:val="21"/>
        </w:rPr>
      </w:pPr>
    </w:p>
    <w:p w:rsidR="00324E03" w:rsidRDefault="00324E03" w:rsidP="00324E03">
      <w:pPr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After the book look you should:</w:t>
      </w:r>
    </w:p>
    <w:p w:rsidR="00324E03" w:rsidRDefault="00324E03" w:rsidP="00324E03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The book-look observation, should be viewed as a means for developing best practice. Feedback </w:t>
      </w:r>
      <w:r>
        <w:rPr>
          <w:rFonts w:ascii="Century Gothic" w:hAnsi="Century Gothic" w:cs="Arial"/>
          <w:b/>
          <w:color w:val="000000" w:themeColor="text1"/>
          <w:sz w:val="21"/>
          <w:szCs w:val="21"/>
        </w:rPr>
        <w:t>must</w:t>
      </w: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 happen; be meaningful and sophisticated.</w:t>
      </w:r>
    </w:p>
    <w:p w:rsidR="00324E03" w:rsidRDefault="00324E03" w:rsidP="00324E03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 w:cs="Arial"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There is context behind every exercise book, student, group and teacher – make sure you know before providing feedback.</w:t>
      </w:r>
    </w:p>
    <w:p w:rsidR="00324E03" w:rsidRDefault="00324E03" w:rsidP="00324E03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 w:cs="Arial"/>
          <w:b/>
          <w:color w:val="000000" w:themeColor="text1"/>
          <w:sz w:val="21"/>
          <w:szCs w:val="21"/>
        </w:rPr>
      </w:pPr>
      <w:r>
        <w:rPr>
          <w:rFonts w:ascii="Century Gothic" w:hAnsi="Century Gothic" w:cs="Arial"/>
          <w:color w:val="000000" w:themeColor="text1"/>
          <w:sz w:val="21"/>
          <w:szCs w:val="21"/>
        </w:rPr>
        <w:t>Photocopy this sheet and return to the teacher after feedback.</w:t>
      </w:r>
    </w:p>
    <w:p w:rsidR="00324E03" w:rsidRDefault="00324E03" w:rsidP="00324E03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 w:cs="Arial"/>
          <w:b/>
          <w:color w:val="000000" w:themeColor="text1"/>
          <w:sz w:val="21"/>
          <w:szCs w:val="21"/>
        </w:rPr>
      </w:pPr>
      <w:r>
        <w:rPr>
          <w:rFonts w:ascii="Century Gothic" w:hAnsi="Century Gothic" w:cs="Arial"/>
          <w:b/>
          <w:color w:val="000000" w:themeColor="text1"/>
          <w:sz w:val="21"/>
          <w:szCs w:val="21"/>
        </w:rPr>
        <w:t xml:space="preserve">A copy should be returned to HoF and ATI/RMC </w:t>
      </w: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or uploaded onto Blue Sky (attached to a (T&amp;L) PM objective and </w:t>
      </w:r>
      <w:r>
        <w:rPr>
          <w:rFonts w:ascii="Century Gothic" w:hAnsi="Century Gothic" w:cs="Arial"/>
          <w:b/>
          <w:color w:val="000000" w:themeColor="text1"/>
          <w:sz w:val="21"/>
          <w:szCs w:val="21"/>
        </w:rPr>
        <w:t>NOT</w:t>
      </w:r>
      <w:r>
        <w:rPr>
          <w:rFonts w:ascii="Century Gothic" w:hAnsi="Century Gothic" w:cs="Arial"/>
          <w:color w:val="000000" w:themeColor="text1"/>
          <w:sz w:val="21"/>
          <w:szCs w:val="21"/>
        </w:rPr>
        <w:t xml:space="preserve"> as an observation document)</w:t>
      </w:r>
      <w:r>
        <w:rPr>
          <w:rFonts w:ascii="Century Gothic" w:hAnsi="Century Gothic" w:cs="Arial"/>
          <w:b/>
          <w:color w:val="000000" w:themeColor="text1"/>
          <w:sz w:val="21"/>
          <w:szCs w:val="21"/>
        </w:rPr>
        <w:t xml:space="preserve"> within 5 working days of completion.</w:t>
      </w:r>
    </w:p>
    <w:p w:rsidR="00855EE5" w:rsidRDefault="00855EE5" w:rsidP="00324E03">
      <w:pPr>
        <w:pStyle w:val="ListParagraph"/>
        <w:rPr>
          <w:rFonts w:ascii="Century Gothic" w:hAnsi="Century Gothic" w:cs="Arial"/>
          <w:color w:val="002060"/>
          <w:sz w:val="20"/>
          <w:szCs w:val="20"/>
        </w:rPr>
      </w:pPr>
    </w:p>
    <w:p w:rsidR="0092323B" w:rsidRPr="00324E03" w:rsidRDefault="007F7EDD" w:rsidP="00324E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24E03">
        <w:rPr>
          <w:rStyle w:val="Strong"/>
          <w:rFonts w:ascii="Century Gothic" w:hAnsi="Century Gothic"/>
          <w:color w:val="000000" w:themeColor="text1"/>
          <w:sz w:val="22"/>
          <w:szCs w:val="22"/>
        </w:rPr>
        <w:t>W</w:t>
      </w:r>
      <w:r w:rsidR="0092323B" w:rsidRPr="00324E03">
        <w:rPr>
          <w:rStyle w:val="Strong"/>
          <w:rFonts w:ascii="Century Gothic" w:hAnsi="Century Gothic"/>
          <w:color w:val="000000" w:themeColor="text1"/>
          <w:sz w:val="22"/>
          <w:szCs w:val="22"/>
        </w:rPr>
        <w:t>hen looking in student books, consider the following:</w:t>
      </w:r>
    </w:p>
    <w:p w:rsidR="00BA15D7" w:rsidRPr="00324E03" w:rsidRDefault="00BA15D7" w:rsidP="00324E03">
      <w:pPr>
        <w:numPr>
          <w:ilvl w:val="0"/>
          <w:numId w:val="17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24E03">
        <w:rPr>
          <w:rFonts w:ascii="Century Gothic" w:hAnsi="Century Gothic"/>
          <w:color w:val="000000" w:themeColor="text1"/>
          <w:sz w:val="20"/>
          <w:szCs w:val="20"/>
        </w:rPr>
        <w:t>Have books been marked from the start of the academic year?</w:t>
      </w:r>
    </w:p>
    <w:p w:rsidR="00BA15D7" w:rsidRPr="00324E03" w:rsidRDefault="00BA15D7" w:rsidP="00324E03">
      <w:pPr>
        <w:numPr>
          <w:ilvl w:val="0"/>
          <w:numId w:val="17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24E03">
        <w:rPr>
          <w:rFonts w:ascii="Century Gothic" w:hAnsi="Century Gothic"/>
          <w:color w:val="000000" w:themeColor="text1"/>
          <w:sz w:val="20"/>
          <w:szCs w:val="20"/>
        </w:rPr>
        <w:t>Are books marked within the last 2-3 weeks?</w:t>
      </w:r>
    </w:p>
    <w:p w:rsidR="00BA15D7" w:rsidRPr="00324E03" w:rsidRDefault="00BA15D7" w:rsidP="00324E03">
      <w:pPr>
        <w:numPr>
          <w:ilvl w:val="0"/>
          <w:numId w:val="17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24E03">
        <w:rPr>
          <w:rFonts w:ascii="Century Gothic" w:hAnsi="Century Gothic"/>
          <w:color w:val="000000" w:themeColor="text1"/>
          <w:sz w:val="20"/>
          <w:szCs w:val="20"/>
        </w:rPr>
        <w:t xml:space="preserve">If books are not marked, this is an </w:t>
      </w:r>
      <w:r w:rsidRPr="00324E03">
        <w:rPr>
          <w:rFonts w:ascii="Century Gothic" w:hAnsi="Century Gothic"/>
          <w:b/>
          <w:color w:val="000000" w:themeColor="text1"/>
          <w:sz w:val="20"/>
          <w:szCs w:val="20"/>
        </w:rPr>
        <w:t>immediate</w:t>
      </w:r>
      <w:r w:rsidRPr="00324E03">
        <w:rPr>
          <w:rFonts w:ascii="Century Gothic" w:hAnsi="Century Gothic"/>
          <w:color w:val="000000" w:themeColor="text1"/>
          <w:sz w:val="20"/>
          <w:szCs w:val="20"/>
        </w:rPr>
        <w:t xml:space="preserve"> conversation with the relevant HoF.</w:t>
      </w:r>
    </w:p>
    <w:p w:rsidR="00142585" w:rsidRPr="00324E03" w:rsidRDefault="00142585" w:rsidP="00324E03">
      <w:pPr>
        <w:numPr>
          <w:ilvl w:val="0"/>
          <w:numId w:val="17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24E03">
        <w:rPr>
          <w:rFonts w:ascii="Century Gothic" w:hAnsi="Century Gothic"/>
          <w:color w:val="000000" w:themeColor="text1"/>
          <w:sz w:val="20"/>
          <w:szCs w:val="20"/>
        </w:rPr>
        <w:t>Are all books available? Including controlled assessments; folders; online material?</w:t>
      </w:r>
    </w:p>
    <w:p w:rsidR="00862104" w:rsidRPr="00324E03" w:rsidRDefault="0092323B" w:rsidP="00324E03">
      <w:pPr>
        <w:numPr>
          <w:ilvl w:val="0"/>
          <w:numId w:val="17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24E03">
        <w:rPr>
          <w:rFonts w:ascii="Century Gothic" w:hAnsi="Century Gothic"/>
          <w:color w:val="000000" w:themeColor="text1"/>
          <w:sz w:val="20"/>
          <w:szCs w:val="20"/>
        </w:rPr>
        <w:t>Are old/</w:t>
      </w:r>
      <w:bookmarkStart w:id="0" w:name="_GoBack"/>
      <w:bookmarkEnd w:id="0"/>
      <w:r w:rsidRPr="00324E03">
        <w:rPr>
          <w:rFonts w:ascii="Century Gothic" w:hAnsi="Century Gothic"/>
          <w:color w:val="000000" w:themeColor="text1"/>
          <w:sz w:val="20"/>
          <w:szCs w:val="20"/>
        </w:rPr>
        <w:t>new books accessible to students?</w:t>
      </w:r>
    </w:p>
    <w:sectPr w:rsidR="00862104" w:rsidRPr="00324E03" w:rsidSect="008C79EF">
      <w:headerReference w:type="default" r:id="rId8"/>
      <w:footerReference w:type="default" r:id="rId9"/>
      <w:pgSz w:w="11906" w:h="16838"/>
      <w:pgMar w:top="720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FF" w:rsidRDefault="00836EFF" w:rsidP="00EC6CAC">
      <w:r>
        <w:separator/>
      </w:r>
    </w:p>
  </w:endnote>
  <w:endnote w:type="continuationSeparator" w:id="0">
    <w:p w:rsidR="00836EFF" w:rsidRDefault="00836EFF" w:rsidP="00E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EF" w:rsidRPr="008C79EF" w:rsidRDefault="008C79EF" w:rsidP="008C79EF">
    <w:pPr>
      <w:pStyle w:val="Footer"/>
      <w:jc w:val="right"/>
      <w:rPr>
        <w:rFonts w:ascii="Century Gothic" w:hAnsi="Century Gothic"/>
        <w:sz w:val="20"/>
        <w:szCs w:val="20"/>
      </w:rPr>
    </w:pPr>
    <w:r w:rsidRPr="008C79EF">
      <w:rPr>
        <w:rFonts w:ascii="Century Gothic" w:hAnsi="Century Gothic"/>
        <w:b/>
        <w:sz w:val="20"/>
        <w:szCs w:val="20"/>
      </w:rPr>
      <w:t>Version 1</w:t>
    </w:r>
    <w:r>
      <w:rPr>
        <w:rFonts w:ascii="Century Gothic" w:hAnsi="Century Gothic"/>
        <w:sz w:val="20"/>
        <w:szCs w:val="20"/>
      </w:rPr>
      <w:t xml:space="preserve"> - </w:t>
    </w:r>
    <w:r w:rsidRPr="008C79EF">
      <w:rPr>
        <w:rFonts w:ascii="Century Gothic" w:hAnsi="Century Gothic"/>
        <w:sz w:val="20"/>
        <w:szCs w:val="20"/>
      </w:rPr>
      <w:t>Updated 30.1.15</w:t>
    </w:r>
  </w:p>
  <w:p w:rsidR="008C79EF" w:rsidRPr="008C79EF" w:rsidRDefault="008C79EF" w:rsidP="008C79EF">
    <w:pPr>
      <w:pStyle w:val="Footer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FF" w:rsidRDefault="00836EFF" w:rsidP="00EC6CAC">
      <w:r>
        <w:separator/>
      </w:r>
    </w:p>
  </w:footnote>
  <w:footnote w:type="continuationSeparator" w:id="0">
    <w:p w:rsidR="00836EFF" w:rsidRDefault="00836EFF" w:rsidP="00EC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AC" w:rsidRDefault="009739FA">
    <w:pPr>
      <w:pStyle w:val="Header"/>
    </w:pPr>
    <w:r w:rsidRPr="0059559C">
      <w:rPr>
        <w:rFonts w:ascii="Century Gothic" w:hAnsi="Century Gothic" w:cs="Arial"/>
        <w:noProof/>
        <w:color w:val="002060"/>
        <w:sz w:val="40"/>
        <w:szCs w:val="28"/>
      </w:rPr>
      <w:drawing>
        <wp:anchor distT="0" distB="0" distL="114300" distR="114300" simplePos="0" relativeHeight="251657216" behindDoc="1" locked="0" layoutInCell="1" allowOverlap="1" wp14:anchorId="6C11E858" wp14:editId="060B65AB">
          <wp:simplePos x="0" y="0"/>
          <wp:positionH relativeFrom="column">
            <wp:posOffset>5591175</wp:posOffset>
          </wp:positionH>
          <wp:positionV relativeFrom="paragraph">
            <wp:posOffset>-172085</wp:posOffset>
          </wp:positionV>
          <wp:extent cx="1076728" cy="7239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73" t="13408" r="15236" b="10629"/>
                  <a:stretch/>
                </pic:blipFill>
                <pic:spPr bwMode="auto">
                  <a:xfrm>
                    <a:off x="0" y="0"/>
                    <a:ext cx="107672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29522386"/>
        <w:docPartObj>
          <w:docPartGallery w:val="Watermarks"/>
          <w:docPartUnique/>
        </w:docPartObj>
      </w:sdtPr>
      <w:sdtEndPr/>
      <w:sdtContent>
        <w:r w:rsidR="00836EFF"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4E6"/>
    <w:multiLevelType w:val="multilevel"/>
    <w:tmpl w:val="1F70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2452"/>
    <w:multiLevelType w:val="hybridMultilevel"/>
    <w:tmpl w:val="10CEF2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20112"/>
    <w:multiLevelType w:val="hybridMultilevel"/>
    <w:tmpl w:val="C2585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134"/>
    <w:multiLevelType w:val="hybridMultilevel"/>
    <w:tmpl w:val="D276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6F6E38"/>
    <w:multiLevelType w:val="hybridMultilevel"/>
    <w:tmpl w:val="59E63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23742D"/>
    <w:multiLevelType w:val="hybridMultilevel"/>
    <w:tmpl w:val="4860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552A2"/>
    <w:multiLevelType w:val="hybridMultilevel"/>
    <w:tmpl w:val="A03E0B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0165D"/>
    <w:multiLevelType w:val="hybridMultilevel"/>
    <w:tmpl w:val="21BC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42A3"/>
    <w:multiLevelType w:val="hybridMultilevel"/>
    <w:tmpl w:val="7228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06999"/>
    <w:multiLevelType w:val="hybridMultilevel"/>
    <w:tmpl w:val="E760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B648B"/>
    <w:multiLevelType w:val="multilevel"/>
    <w:tmpl w:val="EF0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E2FCD"/>
    <w:multiLevelType w:val="hybridMultilevel"/>
    <w:tmpl w:val="00D2E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7753F6"/>
    <w:multiLevelType w:val="multilevel"/>
    <w:tmpl w:val="427E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768BD"/>
    <w:multiLevelType w:val="hybridMultilevel"/>
    <w:tmpl w:val="ABBCE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85251A"/>
    <w:multiLevelType w:val="hybridMultilevel"/>
    <w:tmpl w:val="2A30E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43698D"/>
    <w:multiLevelType w:val="hybridMultilevel"/>
    <w:tmpl w:val="1C400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B298F"/>
    <w:multiLevelType w:val="hybridMultilevel"/>
    <w:tmpl w:val="2D265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55D9D"/>
    <w:multiLevelType w:val="hybridMultilevel"/>
    <w:tmpl w:val="4BA2E0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8113F6"/>
    <w:multiLevelType w:val="hybridMultilevel"/>
    <w:tmpl w:val="DC5648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C36FF3"/>
    <w:multiLevelType w:val="hybridMultilevel"/>
    <w:tmpl w:val="1BF83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B51FCB"/>
    <w:multiLevelType w:val="hybridMultilevel"/>
    <w:tmpl w:val="FED8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7"/>
  </w:num>
  <w:num w:numId="10">
    <w:abstractNumId w:val="13"/>
  </w:num>
  <w:num w:numId="11">
    <w:abstractNumId w:val="15"/>
  </w:num>
  <w:num w:numId="12">
    <w:abstractNumId w:val="21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7"/>
  </w:num>
  <w:num w:numId="21">
    <w:abstractNumId w:va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738ABE-87FD-4656-8223-5534E0D90698}"/>
    <w:docVar w:name="dgnword-eventsink" w:val="269482128"/>
  </w:docVars>
  <w:rsids>
    <w:rsidRoot w:val="000A342A"/>
    <w:rsid w:val="000304FE"/>
    <w:rsid w:val="00033232"/>
    <w:rsid w:val="00036CB5"/>
    <w:rsid w:val="000557C0"/>
    <w:rsid w:val="0008735E"/>
    <w:rsid w:val="000A342A"/>
    <w:rsid w:val="000A3875"/>
    <w:rsid w:val="00111897"/>
    <w:rsid w:val="001306B3"/>
    <w:rsid w:val="001418EF"/>
    <w:rsid w:val="00142585"/>
    <w:rsid w:val="001552F1"/>
    <w:rsid w:val="00157B44"/>
    <w:rsid w:val="0018131D"/>
    <w:rsid w:val="00190DD3"/>
    <w:rsid w:val="0029004C"/>
    <w:rsid w:val="0029712B"/>
    <w:rsid w:val="00297F1A"/>
    <w:rsid w:val="003043C0"/>
    <w:rsid w:val="00312366"/>
    <w:rsid w:val="00324E03"/>
    <w:rsid w:val="003414FD"/>
    <w:rsid w:val="003A7720"/>
    <w:rsid w:val="003C1124"/>
    <w:rsid w:val="004228E4"/>
    <w:rsid w:val="00435EBC"/>
    <w:rsid w:val="0044676D"/>
    <w:rsid w:val="004979B5"/>
    <w:rsid w:val="004A6660"/>
    <w:rsid w:val="004B6DDC"/>
    <w:rsid w:val="00514ABA"/>
    <w:rsid w:val="00520674"/>
    <w:rsid w:val="00580F10"/>
    <w:rsid w:val="00587DA8"/>
    <w:rsid w:val="0059559C"/>
    <w:rsid w:val="005A3983"/>
    <w:rsid w:val="005D4705"/>
    <w:rsid w:val="005E6E20"/>
    <w:rsid w:val="005F60D3"/>
    <w:rsid w:val="005F6C4C"/>
    <w:rsid w:val="006B2283"/>
    <w:rsid w:val="006C21FC"/>
    <w:rsid w:val="006D50C1"/>
    <w:rsid w:val="00711278"/>
    <w:rsid w:val="007303A5"/>
    <w:rsid w:val="00777A90"/>
    <w:rsid w:val="007A1586"/>
    <w:rsid w:val="007F7EDD"/>
    <w:rsid w:val="00800123"/>
    <w:rsid w:val="00816B62"/>
    <w:rsid w:val="00831B84"/>
    <w:rsid w:val="00836CA8"/>
    <w:rsid w:val="00836EFF"/>
    <w:rsid w:val="008452CC"/>
    <w:rsid w:val="008536C1"/>
    <w:rsid w:val="00855EE5"/>
    <w:rsid w:val="00862104"/>
    <w:rsid w:val="00862311"/>
    <w:rsid w:val="008C79EF"/>
    <w:rsid w:val="008D383A"/>
    <w:rsid w:val="00913030"/>
    <w:rsid w:val="0092323B"/>
    <w:rsid w:val="00956378"/>
    <w:rsid w:val="009739FA"/>
    <w:rsid w:val="009B6B89"/>
    <w:rsid w:val="009C2836"/>
    <w:rsid w:val="009D3562"/>
    <w:rsid w:val="00A21013"/>
    <w:rsid w:val="00A31C03"/>
    <w:rsid w:val="00A54273"/>
    <w:rsid w:val="00A62003"/>
    <w:rsid w:val="00A63654"/>
    <w:rsid w:val="00A95D84"/>
    <w:rsid w:val="00AB01DB"/>
    <w:rsid w:val="00B15E01"/>
    <w:rsid w:val="00B50AB8"/>
    <w:rsid w:val="00B65DD8"/>
    <w:rsid w:val="00B739CB"/>
    <w:rsid w:val="00BA15D7"/>
    <w:rsid w:val="00BC1314"/>
    <w:rsid w:val="00C04C26"/>
    <w:rsid w:val="00C2692B"/>
    <w:rsid w:val="00C3094F"/>
    <w:rsid w:val="00C45723"/>
    <w:rsid w:val="00C83955"/>
    <w:rsid w:val="00C86783"/>
    <w:rsid w:val="00C9562E"/>
    <w:rsid w:val="00CC4307"/>
    <w:rsid w:val="00D244C2"/>
    <w:rsid w:val="00D903FD"/>
    <w:rsid w:val="00DB7619"/>
    <w:rsid w:val="00DC042B"/>
    <w:rsid w:val="00DD32C4"/>
    <w:rsid w:val="00DF53D6"/>
    <w:rsid w:val="00DF6184"/>
    <w:rsid w:val="00E00142"/>
    <w:rsid w:val="00E3070D"/>
    <w:rsid w:val="00E4320A"/>
    <w:rsid w:val="00E738CB"/>
    <w:rsid w:val="00EA2A26"/>
    <w:rsid w:val="00EB3AE9"/>
    <w:rsid w:val="00EC05CF"/>
    <w:rsid w:val="00EC6CAC"/>
    <w:rsid w:val="00F26704"/>
    <w:rsid w:val="00F36F4C"/>
    <w:rsid w:val="00F460E2"/>
    <w:rsid w:val="00F47BBA"/>
    <w:rsid w:val="00F54D8B"/>
    <w:rsid w:val="00F7336E"/>
    <w:rsid w:val="00FB08D8"/>
    <w:rsid w:val="00FE15DF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A1EAB60-7C7C-4DBF-947A-8394FA7A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0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DA8"/>
    <w:rPr>
      <w:b/>
      <w:bCs/>
    </w:rPr>
  </w:style>
  <w:style w:type="paragraph" w:styleId="NormalWeb">
    <w:name w:val="Normal (Web)"/>
    <w:basedOn w:val="Normal"/>
    <w:uiPriority w:val="99"/>
    <w:unhideWhenUsed/>
    <w:rsid w:val="00587D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355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773">
          <w:marLeft w:val="0"/>
          <w:marRight w:val="0"/>
          <w:marTop w:val="0"/>
          <w:marBottom w:val="0"/>
          <w:divBdr>
            <w:top w:val="single" w:sz="6" w:space="0" w:color="DADADA"/>
            <w:left w:val="single" w:sz="2" w:space="0" w:color="DADADA"/>
            <w:bottom w:val="single" w:sz="6" w:space="0" w:color="DADADA"/>
            <w:right w:val="single" w:sz="2" w:space="0" w:color="DADADA"/>
          </w:divBdr>
          <w:divsChild>
            <w:div w:id="388958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10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2" w:color="DADADA"/>
                    <w:right w:val="none" w:sz="0" w:space="0" w:color="auto"/>
                  </w:divBdr>
                </w:div>
                <w:div w:id="739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295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9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32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F"/>
    <w:rsid w:val="006D20B8"/>
    <w:rsid w:val="00B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C6E60A12F444BA716E66C764D3695">
    <w:name w:val="A8EC6E60A12F444BA716E66C764D3695"/>
    <w:rsid w:val="00B4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5C0C-4B68-4DC4-AC3C-AFAB0FD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FBEAD01E</Template>
  <TotalTime>35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Kelly Girls Technology College</vt:lpstr>
    </vt:vector>
  </TitlesOfParts>
  <Company>John Kelly Girls Tech College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creator>Bevbell</dc:creator>
  <cp:lastModifiedBy>Ross McGill</cp:lastModifiedBy>
  <cp:revision>5</cp:revision>
  <cp:lastPrinted>2013-10-04T13:47:00Z</cp:lastPrinted>
  <dcterms:created xsi:type="dcterms:W3CDTF">2015-01-29T11:44:00Z</dcterms:created>
  <dcterms:modified xsi:type="dcterms:W3CDTF">2015-01-30T07:53:00Z</dcterms:modified>
</cp:coreProperties>
</file>